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708" w:rsidRPr="0049455A" w:rsidRDefault="00B56437" w:rsidP="00B56437">
      <w:pPr>
        <w:pStyle w:val="aff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49455A">
        <w:rPr>
          <w:rFonts w:ascii="Times New Roman" w:hAnsi="Times New Roman" w:cs="Times New Roman"/>
          <w:sz w:val="28"/>
          <w:szCs w:val="28"/>
          <w:lang w:val="ru-RU"/>
        </w:rPr>
        <w:t>Техническое задание на закупку металлических фронтальных стеллажей на ООО Логикам</w:t>
      </w:r>
    </w:p>
    <w:p w:rsidR="009A6708" w:rsidRPr="0049455A" w:rsidRDefault="009A6708">
      <w:pPr>
        <w:pStyle w:val="aff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A6708" w:rsidRPr="0049455A" w:rsidRDefault="00891576" w:rsidP="00B56437">
      <w:pPr>
        <w:pStyle w:val="aff4"/>
        <w:tabs>
          <w:tab w:val="left" w:pos="1134"/>
        </w:tabs>
        <w:ind w:left="709"/>
        <w:jc w:val="both"/>
        <w:rPr>
          <w:lang w:val="ru-RU"/>
        </w:rPr>
      </w:pPr>
      <w:r w:rsidRPr="0049455A">
        <w:rPr>
          <w:rStyle w:val="16"/>
          <w:rFonts w:ascii="Times New Roman" w:hAnsi="Times New Roman" w:cs="Times New Roman"/>
          <w:b/>
          <w:sz w:val="28"/>
          <w:szCs w:val="28"/>
          <w:lang w:val="ru-RU"/>
        </w:rPr>
        <w:t>Наименование объекта закупки.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455A">
        <w:rPr>
          <w:rStyle w:val="16"/>
          <w:rFonts w:ascii="Times New Roman" w:hAnsi="Times New Roman" w:cs="Times New Roman"/>
          <w:sz w:val="28"/>
          <w:szCs w:val="28"/>
          <w:u w:val="none"/>
          <w:lang w:val="ru-RU"/>
        </w:rPr>
        <w:t>Фронтальные стеллажи для хранения паллетированных грузов на поддонах (далее – Товар, Стеллажи)</w:t>
      </w:r>
      <w:r w:rsidRPr="0049455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lang w:val="ru-RU"/>
        </w:rPr>
      </w:pPr>
      <w:r w:rsidRPr="0049455A">
        <w:rPr>
          <w:rStyle w:val="16"/>
          <w:rFonts w:ascii="Times New Roman" w:hAnsi="Times New Roman" w:cs="Times New Roman"/>
          <w:sz w:val="28"/>
          <w:szCs w:val="28"/>
          <w:u w:val="none"/>
          <w:lang w:val="ru-RU"/>
        </w:rPr>
        <w:t xml:space="preserve">1.1. Назначение Товара и цели использования Товара: </w:t>
      </w:r>
      <w:r w:rsidRPr="0049455A">
        <w:rPr>
          <w:rFonts w:ascii="Times New Roman" w:hAnsi="Times New Roman" w:cs="Times New Roman"/>
          <w:iCs/>
          <w:sz w:val="28"/>
          <w:szCs w:val="28"/>
          <w:lang w:val="ru-RU"/>
        </w:rPr>
        <w:t>для обеспечения производственной деятельности.</w:t>
      </w:r>
    </w:p>
    <w:p w:rsidR="009A6708" w:rsidRPr="0049455A" w:rsidRDefault="00891576">
      <w:pPr>
        <w:ind w:firstLine="709"/>
        <w:jc w:val="both"/>
      </w:pPr>
      <w:r w:rsidRPr="0049455A">
        <w:rPr>
          <w:rFonts w:ascii="Times New Roman" w:hAnsi="Times New Roman"/>
          <w:sz w:val="28"/>
          <w:szCs w:val="28"/>
        </w:rPr>
        <w:t>1.2.</w:t>
      </w:r>
      <w:r w:rsidRPr="0049455A">
        <w:rPr>
          <w:rFonts w:ascii="Times New Roman" w:hAnsi="Times New Roman"/>
          <w:b/>
          <w:sz w:val="28"/>
          <w:szCs w:val="28"/>
        </w:rPr>
        <w:t xml:space="preserve"> </w:t>
      </w:r>
      <w:r w:rsidRPr="0049455A">
        <w:rPr>
          <w:rFonts w:ascii="Times New Roman" w:hAnsi="Times New Roman"/>
          <w:sz w:val="28"/>
          <w:szCs w:val="28"/>
        </w:rPr>
        <w:t>Товар должен быть новым (который не был в употреблении, в том числе который не был восстановлен, у которого не были восстановлены потребительские свойства)</w:t>
      </w:r>
      <w:r w:rsidRPr="004945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708" w:rsidRPr="0049455A" w:rsidRDefault="00891576">
      <w:pPr>
        <w:pStyle w:val="aff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55A">
        <w:rPr>
          <w:rFonts w:ascii="Times New Roman" w:hAnsi="Times New Roman" w:cs="Times New Roman"/>
          <w:b/>
          <w:sz w:val="28"/>
          <w:szCs w:val="28"/>
        </w:rPr>
        <w:t>Описание объекта закупки.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lang w:val="ru-RU"/>
        </w:rPr>
      </w:pPr>
      <w:r w:rsidRPr="0049455A">
        <w:rPr>
          <w:rFonts w:ascii="Times New Roman" w:hAnsi="Times New Roman" w:cs="Times New Roman"/>
          <w:sz w:val="28"/>
          <w:szCs w:val="28"/>
          <w:lang w:val="ru-RU"/>
        </w:rPr>
        <w:t>2.1. Тип Стеллажей: фронтальные, стальные сборно-разборные, предназначенные для хранения паллетированных грузов на поддонах, обслуживаемые напольной штабелирующей техникой и эксплуатируемые в закрытых помещениях.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lang w:val="ru-RU"/>
        </w:rPr>
      </w:pPr>
      <w:r w:rsidRPr="0049455A">
        <w:rPr>
          <w:rFonts w:ascii="Times New Roman" w:hAnsi="Times New Roman" w:cs="Times New Roman"/>
          <w:sz w:val="28"/>
          <w:szCs w:val="28"/>
          <w:lang w:val="ru-RU"/>
        </w:rPr>
        <w:t>Стеллажи должны соответствовать требованиям ГОСТ Р 55525-2017 «Национальный стандарт Российской Федерации. Складское оборудование. Стеллажи сборно-разборные. Общие технические условия».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5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9455A">
        <w:rPr>
          <w:rFonts w:ascii="Times New Roman" w:hAnsi="Times New Roman" w:cs="Times New Roman"/>
          <w:sz w:val="28"/>
          <w:szCs w:val="28"/>
          <w:lang w:val="ru-RU"/>
        </w:rPr>
        <w:t>Размещение Товара осуществляется согласно Приложению № 1.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455A">
        <w:rPr>
          <w:rFonts w:ascii="Times New Roman" w:hAnsi="Times New Roman" w:cs="Times New Roman"/>
          <w:sz w:val="28"/>
          <w:szCs w:val="28"/>
          <w:lang w:val="ru-RU"/>
        </w:rPr>
        <w:t>Установка и сборка Стеллажей осуществляется Поставщиком на подготовленной Грузополучателем открытой бетонированной площадке.</w:t>
      </w:r>
    </w:p>
    <w:p w:rsidR="009A6708" w:rsidRPr="0049455A" w:rsidRDefault="00891576">
      <w:pPr>
        <w:pStyle w:val="aff4"/>
        <w:tabs>
          <w:tab w:val="left" w:pos="1134"/>
        </w:tabs>
        <w:ind w:firstLine="709"/>
        <w:jc w:val="both"/>
        <w:rPr>
          <w:rFonts w:asciiTheme="minorHAnsi" w:hAnsiTheme="minorHAnsi"/>
          <w:lang w:val="ru-RU"/>
        </w:rPr>
      </w:pPr>
      <w:r w:rsidRPr="0049455A">
        <w:rPr>
          <w:rFonts w:ascii="Times New Roman" w:hAnsi="Times New Roman" w:cs="Times New Roman"/>
          <w:sz w:val="28"/>
          <w:szCs w:val="28"/>
          <w:lang w:val="ru-RU"/>
        </w:rPr>
        <w:t>2.2. Наименование, комплектация, технические характеристики, ограничения, единица измерения и количество составных</w:t>
      </w:r>
      <w:r w:rsidR="00B56437" w:rsidRPr="0049455A">
        <w:rPr>
          <w:rFonts w:ascii="Times New Roman" w:hAnsi="Times New Roman" w:cs="Times New Roman"/>
          <w:sz w:val="28"/>
          <w:szCs w:val="28"/>
          <w:lang w:val="ru-RU"/>
        </w:rPr>
        <w:t xml:space="preserve"> элементов стеллажей.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44"/>
        <w:gridCol w:w="3481"/>
        <w:gridCol w:w="1212"/>
        <w:gridCol w:w="1076"/>
        <w:gridCol w:w="2916"/>
      </w:tblGrid>
      <w:tr w:rsidR="009A6708" w:rsidRPr="0049455A" w:rsidTr="00A17A8A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ind w:left="-108" w:right="-10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№</w:t>
            </w:r>
            <w:r w:rsidRPr="004945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945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Ед.  изм.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Состав одной единицы измерения</w:t>
            </w:r>
          </w:p>
        </w:tc>
      </w:tr>
      <w:tr w:rsidR="009A6708" w:rsidRPr="0049455A" w:rsidTr="00A17A8A">
        <w:trPr>
          <w:trHeight w:val="548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Комплект оборудования фронтальных стеллажей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1 (Один)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tabs>
                <w:tab w:val="left" w:pos="176"/>
                <w:tab w:val="left" w:pos="328"/>
              </w:tabs>
              <w:ind w:left="-108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перечнем указанным в пункте 2.2.1</w:t>
            </w:r>
          </w:p>
        </w:tc>
      </w:tr>
    </w:tbl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2.2.1. Перечень комплекта оборудования, их конструкция и технические характеристики.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533"/>
        <w:gridCol w:w="1133"/>
        <w:gridCol w:w="717"/>
        <w:gridCol w:w="2268"/>
      </w:tblGrid>
      <w:tr w:rsidR="009A6708" w:rsidRPr="0049455A" w:rsidTr="00A17A8A">
        <w:trPr>
          <w:trHeight w:val="194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4945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9455A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A17A8A">
            <w:pPr>
              <w:jc w:val="center"/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Ограни</w:t>
            </w:r>
            <w:r w:rsidR="00891576" w:rsidRPr="0049455A">
              <w:rPr>
                <w:rFonts w:ascii="Times New Roman" w:hAnsi="Times New Roman"/>
                <w:b/>
                <w:sz w:val="24"/>
                <w:szCs w:val="24"/>
              </w:rPr>
              <w:t>чение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9A670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891576">
            <w:pPr>
              <w:ind w:left="-142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bCs/>
                <w:sz w:val="24"/>
                <w:szCs w:val="24"/>
              </w:rPr>
              <w:t>Область применения</w:t>
            </w:r>
          </w:p>
        </w:tc>
      </w:tr>
      <w:tr w:rsidR="009A6708" w:rsidRPr="0049455A" w:rsidTr="00A17A8A">
        <w:trPr>
          <w:trHeight w:val="16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6"/>
              </w:numPr>
              <w:ind w:left="-142" w:right="-108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Назначение передвижных стеллажей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Фронтальные стеллажи предназначены </w:t>
            </w:r>
            <w:r w:rsidRPr="0049455A">
              <w:rPr>
                <w:rFonts w:ascii="Times New Roman" w:hAnsi="Times New Roman"/>
                <w:iCs/>
                <w:sz w:val="24"/>
                <w:szCs w:val="24"/>
              </w:rPr>
              <w:t>для обеспечения производственной деятельности</w:t>
            </w:r>
          </w:p>
        </w:tc>
      </w:tr>
      <w:tr w:rsidR="009A6708" w:rsidRPr="0049455A" w:rsidTr="00A17A8A">
        <w:trPr>
          <w:trHeight w:val="1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6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r w:rsidRPr="0049455A">
              <w:rPr>
                <w:rFonts w:ascii="Times New Roman" w:hAnsi="Times New Roman"/>
                <w:sz w:val="24"/>
                <w:szCs w:val="24"/>
              </w:rPr>
              <w:t>Схема расположения стеллажей</w:t>
            </w:r>
          </w:p>
        </w:tc>
        <w:tc>
          <w:tcPr>
            <w:tcW w:w="4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both"/>
            </w:pPr>
            <w:r w:rsidRPr="0049455A">
              <w:rPr>
                <w:rFonts w:ascii="Times New Roman" w:hAnsi="Times New Roman"/>
                <w:sz w:val="24"/>
                <w:szCs w:val="24"/>
              </w:rPr>
              <w:t>См. приложение № 1</w:t>
            </w:r>
          </w:p>
        </w:tc>
      </w:tr>
      <w:tr w:rsidR="009A6708" w:rsidRPr="0049455A" w:rsidTr="00A17A8A">
        <w:trPr>
          <w:trHeight w:val="2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891576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 стеллажей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Максимальный размер тары (глубина*ширина*высота)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5133D0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1200*800*12</w:t>
            </w:r>
            <w:r w:rsidR="00891576" w:rsidRPr="004945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Максимальный вес материала с учетом тары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797DA5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1,200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Вместимость тар в ячейку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Грузоподъемность ячейки стеллажа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854A8" w:rsidP="008854A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Количество ячеек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Количество ярусов в секции по высоте стеллажа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5 (нижняя ячейка пол)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Ширина ячейки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2 700</w:t>
            </w:r>
          </w:p>
        </w:tc>
      </w:tr>
      <w:tr w:rsidR="009A6708" w:rsidRPr="0049455A" w:rsidTr="00A17A8A">
        <w:trPr>
          <w:trHeight w:val="24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Высота ячейки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797DA5" w:rsidP="005133D0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5133D0" w:rsidRPr="0049455A">
              <w:rPr>
                <w:rFonts w:ascii="Times New Roman" w:hAnsi="Times New Roman"/>
                <w:sz w:val="24"/>
                <w:szCs w:val="24"/>
              </w:rPr>
              <w:t>3</w:t>
            </w:r>
            <w:r w:rsidR="00891576" w:rsidRPr="0049455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9A670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3E0996" w:rsidP="003E099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Глубина ячейки</w:t>
            </w:r>
            <w:r w:rsidR="00BA0496" w:rsidRPr="00494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A88" w:rsidRPr="0049455A">
              <w:rPr>
                <w:rFonts w:ascii="Times New Roman" w:hAnsi="Times New Roman"/>
                <w:sz w:val="24"/>
                <w:szCs w:val="24"/>
              </w:rPr>
              <w:t>/</w:t>
            </w:r>
            <w:r w:rsidR="00BA0496" w:rsidRPr="00494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3A88" w:rsidRPr="0049455A">
              <w:rPr>
                <w:rFonts w:ascii="Times New Roman" w:hAnsi="Times New Roman"/>
                <w:sz w:val="24"/>
                <w:szCs w:val="24"/>
              </w:rPr>
              <w:t>до ограничителя паллет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3E099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 w:rsidP="00263A8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1</w:t>
            </w:r>
            <w:r w:rsidR="00263A88" w:rsidRPr="0049455A">
              <w:rPr>
                <w:rFonts w:ascii="Times New Roman" w:hAnsi="Times New Roman"/>
                <w:sz w:val="24"/>
                <w:szCs w:val="24"/>
              </w:rPr>
              <w:t> 050/</w:t>
            </w:r>
            <w:r w:rsidR="00263A88" w:rsidRPr="0049455A">
              <w:rPr>
                <w:rFonts w:ascii="Times New Roman" w:hAnsi="Times New Roman"/>
                <w:sz w:val="24"/>
                <w:szCs w:val="24"/>
                <w:lang w:val="en-US"/>
              </w:rPr>
              <w:t>1100</w:t>
            </w:r>
          </w:p>
        </w:tc>
      </w:tr>
      <w:tr w:rsidR="009A6708" w:rsidRPr="0049455A" w:rsidTr="00A17A8A">
        <w:trPr>
          <w:trHeight w:val="20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708" w:rsidRPr="0049455A" w:rsidRDefault="009A6708">
            <w:pPr>
              <w:pStyle w:val="a3"/>
              <w:numPr>
                <w:ilvl w:val="0"/>
                <w:numId w:val="3"/>
              </w:numPr>
              <w:spacing w:line="216" w:lineRule="auto"/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Количество ограничителей паллет, RAL 5017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C66823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89157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708" w:rsidRPr="0049455A" w:rsidRDefault="00BA0496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</w:tr>
      <w:tr w:rsidR="002E5921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Высота стоек стеллажа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8457E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E8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8457E4" w:rsidRPr="00E06E87">
              <w:rPr>
                <w:rFonts w:ascii="Times New Roman" w:hAnsi="Times New Roman"/>
                <w:sz w:val="24"/>
                <w:szCs w:val="24"/>
              </w:rPr>
              <w:t>5</w:t>
            </w:r>
            <w:r w:rsidRPr="00E06E8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E5921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Количество мест хранения паллет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3 300</w:t>
            </w:r>
          </w:p>
        </w:tc>
      </w:tr>
      <w:tr w:rsidR="002E5921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Настил – балочный каркас (2 поперечных и 2 продольных траверсы) на ячейку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комплектов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</w:tr>
      <w:tr w:rsidR="002E5921" w:rsidRPr="0049455A" w:rsidTr="00A17A8A">
        <w:trPr>
          <w:trHeight w:val="27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Грузоподъемность балочного настила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2E5921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Высота помещения от пола до осветительных приборов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8 000</w:t>
            </w:r>
          </w:p>
        </w:tc>
      </w:tr>
      <w:tr w:rsidR="002E5921" w:rsidRPr="0049455A" w:rsidTr="00A17A8A">
        <w:trPr>
          <w:trHeight w:val="5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Количество двойных рядов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5921" w:rsidRPr="0049455A" w:rsidTr="00A17A8A">
        <w:trPr>
          <w:trHeight w:val="55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Ширина межстеллажного прохода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3 600</w:t>
            </w:r>
          </w:p>
        </w:tc>
      </w:tr>
      <w:tr w:rsidR="002E5921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C47C4F" w:rsidRDefault="002E5921" w:rsidP="00C47C4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Металлические отбойники – защита стеллажных стоек, цвет RAL </w:t>
            </w:r>
            <w:r w:rsidR="00C47C4F" w:rsidRPr="00C47C4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2E5921" w:rsidRPr="0049455A" w:rsidTr="00A17A8A">
        <w:trPr>
          <w:trHeight w:val="7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C47C4F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Металлические отбойники – защита торцов стеллажей, цвет RAL </w:t>
            </w:r>
            <w:r w:rsidR="00C47C4F" w:rsidRPr="00C47C4F">
              <w:rPr>
                <w:rFonts w:ascii="Times New Roman" w:hAnsi="Times New Roman"/>
                <w:sz w:val="24"/>
                <w:szCs w:val="24"/>
              </w:rPr>
              <w:t>1003</w:t>
            </w:r>
          </w:p>
          <w:p w:rsidR="002E5921" w:rsidRPr="0049455A" w:rsidRDefault="002E5921" w:rsidP="002E5921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2E5921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E5921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21" w:rsidRPr="0049455A" w:rsidRDefault="002E5921" w:rsidP="002E5921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C47C4F" w:rsidRDefault="008854A8" w:rsidP="00C47C4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Боковой отбойник </w:t>
            </w:r>
            <w:r w:rsidRPr="0049455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9455A">
              <w:rPr>
                <w:rFonts w:ascii="Times New Roman" w:hAnsi="Times New Roman"/>
                <w:sz w:val="24"/>
                <w:szCs w:val="24"/>
              </w:rPr>
              <w:t>=2400</w:t>
            </w:r>
            <w:r w:rsidR="0049455A" w:rsidRPr="0049455A">
              <w:rPr>
                <w:rFonts w:ascii="Times New Roman" w:hAnsi="Times New Roman"/>
                <w:sz w:val="24"/>
                <w:szCs w:val="24"/>
              </w:rPr>
              <w:t xml:space="preserve">, цвет RAL </w:t>
            </w:r>
            <w:r w:rsidR="00C47C4F" w:rsidRPr="00C47C4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8854A8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8854A8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921" w:rsidRPr="0049455A" w:rsidRDefault="008854A8" w:rsidP="002E5921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854A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pStyle w:val="a3"/>
              <w:numPr>
                <w:ilvl w:val="0"/>
                <w:numId w:val="3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C47C4F" w:rsidRDefault="008854A8" w:rsidP="00C47C4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 xml:space="preserve">Боковой отбойник </w:t>
            </w:r>
            <w:r w:rsidRPr="0049455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9455A">
              <w:rPr>
                <w:rFonts w:ascii="Times New Roman" w:hAnsi="Times New Roman"/>
                <w:sz w:val="24"/>
                <w:szCs w:val="24"/>
              </w:rPr>
              <w:t>=1140</w:t>
            </w:r>
            <w:r w:rsidR="0049455A" w:rsidRPr="0049455A">
              <w:rPr>
                <w:rFonts w:ascii="Times New Roman" w:hAnsi="Times New Roman"/>
                <w:sz w:val="24"/>
                <w:szCs w:val="24"/>
              </w:rPr>
              <w:t xml:space="preserve">, цвет RAL </w:t>
            </w:r>
            <w:r w:rsidR="00C47C4F" w:rsidRPr="00C47C4F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точно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455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55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8854A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Требования безопасности</w:t>
            </w:r>
          </w:p>
        </w:tc>
      </w:tr>
      <w:tr w:rsidR="008854A8" w:rsidRPr="0049455A" w:rsidTr="00A17A8A">
        <w:trPr>
          <w:trHeight w:val="8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sz w:val="24"/>
                <w:szCs w:val="24"/>
              </w:rPr>
              <w:t>Стеллажное оборудование должно удовлетворять ГОСТ Р 55525-2017.</w:t>
            </w:r>
          </w:p>
        </w:tc>
      </w:tr>
      <w:tr w:rsidR="008854A8" w:rsidRPr="0049455A" w:rsidTr="00A17A8A">
        <w:trPr>
          <w:trHeight w:val="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55A">
              <w:rPr>
                <w:rFonts w:ascii="Times New Roman" w:hAnsi="Times New Roman"/>
                <w:b/>
                <w:sz w:val="24"/>
                <w:szCs w:val="24"/>
              </w:rPr>
              <w:t>Требования к комплектации</w:t>
            </w:r>
          </w:p>
        </w:tc>
      </w:tr>
      <w:tr w:rsidR="008854A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pStyle w:val="a3"/>
              <w:numPr>
                <w:ilvl w:val="0"/>
                <w:numId w:val="1"/>
              </w:numPr>
              <w:ind w:left="-142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pStyle w:val="Default"/>
            </w:pPr>
            <w:r w:rsidRPr="0049455A">
              <w:t>Паспорт на стеллажную систему.</w:t>
            </w:r>
          </w:p>
        </w:tc>
      </w:tr>
      <w:tr w:rsidR="008854A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pStyle w:val="a3"/>
              <w:numPr>
                <w:ilvl w:val="0"/>
                <w:numId w:val="1"/>
              </w:numPr>
              <w:ind w:left="-142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pStyle w:val="Default"/>
            </w:pPr>
            <w:r w:rsidRPr="0049455A">
              <w:t>Инструкция по эксплуатации на русском языке.</w:t>
            </w:r>
          </w:p>
        </w:tc>
      </w:tr>
      <w:tr w:rsidR="008854A8" w:rsidRPr="0049455A" w:rsidTr="00A17A8A">
        <w:trPr>
          <w:trHeight w:val="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A8" w:rsidRPr="0049455A" w:rsidRDefault="008854A8" w:rsidP="008854A8">
            <w:pPr>
              <w:pStyle w:val="a3"/>
              <w:numPr>
                <w:ilvl w:val="0"/>
                <w:numId w:val="1"/>
              </w:numPr>
              <w:ind w:left="-142" w:right="-108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A8" w:rsidRPr="0049455A" w:rsidRDefault="008854A8" w:rsidP="008854A8">
            <w:pPr>
              <w:pStyle w:val="Default"/>
            </w:pPr>
            <w:r w:rsidRPr="0049455A">
              <w:t>Информационные таблички на русском языке для стеллажей согласно ГОСТ Р 55525-2017.</w:t>
            </w:r>
          </w:p>
        </w:tc>
      </w:tr>
    </w:tbl>
    <w:p w:rsidR="009A6708" w:rsidRPr="0049455A" w:rsidRDefault="009A670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708" w:rsidRPr="0049455A" w:rsidRDefault="009A670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2.3. Функциональные, качественные и эксплуатационные характеристики Товара.</w:t>
      </w:r>
    </w:p>
    <w:p w:rsidR="009A6708" w:rsidRPr="0049455A" w:rsidRDefault="00891576">
      <w:pPr>
        <w:ind w:firstLine="709"/>
        <w:jc w:val="both"/>
      </w:pPr>
      <w:r w:rsidRPr="0049455A">
        <w:rPr>
          <w:rFonts w:ascii="Times New Roman" w:hAnsi="Times New Roman"/>
          <w:sz w:val="28"/>
          <w:szCs w:val="28"/>
        </w:rPr>
        <w:t xml:space="preserve">2.3.1. </w:t>
      </w:r>
      <w:r w:rsidRPr="0049455A">
        <w:rPr>
          <w:rFonts w:ascii="Times New Roman" w:hAnsi="Times New Roman"/>
          <w:b/>
          <w:sz w:val="28"/>
          <w:szCs w:val="28"/>
        </w:rPr>
        <w:t>Стеллаж</w:t>
      </w:r>
      <w:r w:rsidRPr="0049455A">
        <w:rPr>
          <w:rFonts w:ascii="Times New Roman" w:hAnsi="Times New Roman"/>
          <w:sz w:val="28"/>
          <w:szCs w:val="28"/>
        </w:rPr>
        <w:t xml:space="preserve"> должен быть сборно-разборным изделием, состоящим из следующих элементов: рамы, балки, элементы защиты, крепежи и т.д.</w:t>
      </w:r>
    </w:p>
    <w:p w:rsidR="009A6708" w:rsidRPr="0049455A" w:rsidRDefault="00891576">
      <w:pPr>
        <w:ind w:firstLine="709"/>
        <w:jc w:val="both"/>
      </w:pPr>
      <w:r w:rsidRPr="0049455A">
        <w:rPr>
          <w:rFonts w:ascii="Times New Roman" w:hAnsi="Times New Roman"/>
          <w:sz w:val="28"/>
          <w:szCs w:val="28"/>
        </w:rPr>
        <w:t xml:space="preserve">Высота складирования </w:t>
      </w:r>
      <w:r w:rsidR="001E754B" w:rsidRPr="0049455A">
        <w:rPr>
          <w:rFonts w:ascii="Times New Roman" w:hAnsi="Times New Roman"/>
          <w:sz w:val="28"/>
          <w:szCs w:val="28"/>
        </w:rPr>
        <w:t>не менее 7 000 мм</w:t>
      </w:r>
      <w:r w:rsidRPr="0049455A">
        <w:rPr>
          <w:rFonts w:ascii="Times New Roman" w:hAnsi="Times New Roman"/>
          <w:sz w:val="28"/>
          <w:szCs w:val="28"/>
        </w:rPr>
        <w:t xml:space="preserve">. Грузоподъемность одной секции стеллажа должна быть не менее </w:t>
      </w:r>
      <w:r w:rsidR="003338E0" w:rsidRPr="0049455A">
        <w:rPr>
          <w:rFonts w:ascii="Times New Roman" w:hAnsi="Times New Roman"/>
          <w:sz w:val="28"/>
          <w:szCs w:val="28"/>
        </w:rPr>
        <w:t>16</w:t>
      </w:r>
      <w:r w:rsidRPr="0049455A">
        <w:rPr>
          <w:rFonts w:ascii="Times New Roman" w:hAnsi="Times New Roman"/>
          <w:sz w:val="28"/>
          <w:szCs w:val="28"/>
        </w:rPr>
        <w:t xml:space="preserve"> тонн, вместимость 3 300 поддонов с грузом. Нижний ряд поддонов устанавливается на пол. Фронтальный вид Стеллажей с габаритными размерами показан на схеме (Приложение № 1)</w:t>
      </w:r>
      <w:r w:rsidRPr="0049455A">
        <w:rPr>
          <w:rStyle w:val="afe"/>
          <w:rFonts w:ascii="Times New Roman" w:hAnsi="Times New Roman"/>
          <w:sz w:val="28"/>
          <w:szCs w:val="28"/>
        </w:rPr>
        <w:footnoteReference w:id="1"/>
      </w:r>
      <w:r w:rsidRPr="0049455A">
        <w:rPr>
          <w:rFonts w:ascii="Times New Roman" w:hAnsi="Times New Roman"/>
          <w:sz w:val="28"/>
          <w:szCs w:val="28"/>
        </w:rPr>
        <w:t>.</w:t>
      </w:r>
    </w:p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 xml:space="preserve">Планируемое использование поддонов с паллетированным грузом (ГхШхВ) </w:t>
      </w:r>
      <w:r w:rsidRPr="0049455A">
        <w:rPr>
          <w:rFonts w:ascii="Times New Roman" w:hAnsi="Times New Roman"/>
          <w:sz w:val="28"/>
          <w:szCs w:val="28"/>
          <w:lang w:bidi="en-US"/>
        </w:rPr>
        <w:t>1200</w:t>
      </w:r>
      <w:r w:rsidRPr="0049455A">
        <w:rPr>
          <w:rFonts w:ascii="Times New Roman" w:hAnsi="Times New Roman"/>
          <w:sz w:val="28"/>
          <w:szCs w:val="28"/>
          <w:lang w:val="en-US" w:bidi="en-US"/>
        </w:rPr>
        <w:t>x</w:t>
      </w:r>
      <w:r w:rsidRPr="0049455A">
        <w:rPr>
          <w:rFonts w:ascii="Times New Roman" w:hAnsi="Times New Roman"/>
          <w:sz w:val="28"/>
          <w:szCs w:val="28"/>
          <w:lang w:bidi="en-US"/>
        </w:rPr>
        <w:t>800</w:t>
      </w:r>
      <w:r w:rsidRPr="0049455A">
        <w:rPr>
          <w:rFonts w:ascii="Times New Roman" w:hAnsi="Times New Roman"/>
          <w:sz w:val="28"/>
          <w:szCs w:val="28"/>
          <w:lang w:val="en-US" w:bidi="en-US"/>
        </w:rPr>
        <w:t>x</w:t>
      </w:r>
      <w:r w:rsidRPr="0049455A">
        <w:rPr>
          <w:rFonts w:ascii="Times New Roman" w:hAnsi="Times New Roman"/>
          <w:sz w:val="28"/>
          <w:szCs w:val="28"/>
          <w:lang w:bidi="en-US"/>
        </w:rPr>
        <w:t>1</w:t>
      </w:r>
      <w:r w:rsidR="008854A8" w:rsidRPr="0049455A">
        <w:rPr>
          <w:rFonts w:ascii="Times New Roman" w:hAnsi="Times New Roman"/>
          <w:sz w:val="28"/>
          <w:szCs w:val="28"/>
          <w:lang w:bidi="en-US"/>
        </w:rPr>
        <w:t>2</w:t>
      </w:r>
      <w:r w:rsidRPr="0049455A">
        <w:rPr>
          <w:rFonts w:ascii="Times New Roman" w:hAnsi="Times New Roman"/>
          <w:sz w:val="28"/>
          <w:szCs w:val="28"/>
          <w:lang w:bidi="en-US"/>
        </w:rPr>
        <w:t xml:space="preserve">00 </w:t>
      </w:r>
      <w:r w:rsidRPr="0049455A">
        <w:rPr>
          <w:rFonts w:ascii="Times New Roman" w:hAnsi="Times New Roman"/>
          <w:sz w:val="28"/>
          <w:szCs w:val="28"/>
        </w:rPr>
        <w:t>мм и массой от 1</w:t>
      </w:r>
      <w:r w:rsidR="00AA5E0E" w:rsidRPr="00AA5E0E">
        <w:rPr>
          <w:rFonts w:ascii="Times New Roman" w:hAnsi="Times New Roman"/>
          <w:sz w:val="28"/>
          <w:szCs w:val="28"/>
        </w:rPr>
        <w:t>2</w:t>
      </w:r>
      <w:r w:rsidRPr="0049455A">
        <w:rPr>
          <w:rFonts w:ascii="Times New Roman" w:hAnsi="Times New Roman"/>
          <w:sz w:val="28"/>
          <w:szCs w:val="28"/>
        </w:rPr>
        <w:t>00 кг.</w:t>
      </w:r>
    </w:p>
    <w:p w:rsidR="009A6708" w:rsidRPr="0049455A" w:rsidRDefault="00891576">
      <w:pPr>
        <w:widowControl w:val="0"/>
        <w:tabs>
          <w:tab w:val="left" w:pos="20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 xml:space="preserve">2.3.2. </w:t>
      </w:r>
      <w:r w:rsidRPr="0049455A">
        <w:rPr>
          <w:rFonts w:ascii="Times New Roman" w:hAnsi="Times New Roman"/>
          <w:b/>
          <w:sz w:val="28"/>
          <w:szCs w:val="28"/>
        </w:rPr>
        <w:t>Рама</w:t>
      </w:r>
      <w:r w:rsidR="00AA5E0E">
        <w:rPr>
          <w:rFonts w:ascii="Times New Roman" w:hAnsi="Times New Roman"/>
          <w:sz w:val="28"/>
          <w:szCs w:val="28"/>
        </w:rPr>
        <w:t xml:space="preserve"> должна состоять из двух стоек </w:t>
      </w:r>
      <w:proofErr w:type="spellStart"/>
      <w:r w:rsidR="00AA5E0E">
        <w:rPr>
          <w:rFonts w:ascii="Times New Roman" w:hAnsi="Times New Roman"/>
          <w:sz w:val="28"/>
          <w:szCs w:val="28"/>
        </w:rPr>
        <w:t>C</w:t>
      </w:r>
      <w:r w:rsidRPr="0049455A">
        <w:rPr>
          <w:rFonts w:ascii="Times New Roman" w:hAnsi="Times New Roman"/>
          <w:sz w:val="28"/>
          <w:szCs w:val="28"/>
        </w:rPr>
        <w:t>теллажей</w:t>
      </w:r>
      <w:proofErr w:type="spellEnd"/>
      <w:r w:rsidRPr="0049455A">
        <w:rPr>
          <w:rFonts w:ascii="Times New Roman" w:hAnsi="Times New Roman"/>
          <w:sz w:val="28"/>
          <w:szCs w:val="28"/>
        </w:rPr>
        <w:t>.</w:t>
      </w:r>
      <w:r w:rsidR="002E5921" w:rsidRPr="0049455A">
        <w:rPr>
          <w:rFonts w:ascii="Times New Roman" w:hAnsi="Times New Roman"/>
        </w:rPr>
        <w:t xml:space="preserve"> </w:t>
      </w:r>
      <w:r w:rsidR="002E5921" w:rsidRPr="0049455A">
        <w:rPr>
          <w:rFonts w:ascii="Times New Roman" w:hAnsi="Times New Roman"/>
          <w:sz w:val="28"/>
          <w:szCs w:val="28"/>
        </w:rPr>
        <w:t>Цвет RAL 5017.</w:t>
      </w:r>
    </w:p>
    <w:p w:rsidR="009A6708" w:rsidRPr="0049455A" w:rsidRDefault="00891576">
      <w:pPr>
        <w:widowControl w:val="0"/>
        <w:tabs>
          <w:tab w:val="left" w:pos="20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 xml:space="preserve">Стойки должны быть связаны между собой посредством болтового соединения горизонтальными и диагональными раскосами. Раскосы должны быть из металлического профиля толщиной не менее 1,5 мм. </w:t>
      </w:r>
    </w:p>
    <w:p w:rsidR="009A6708" w:rsidRPr="0049455A" w:rsidRDefault="00891576">
      <w:pPr>
        <w:widowControl w:val="0"/>
        <w:tabs>
          <w:tab w:val="left" w:pos="20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Профиль стойки</w:t>
      </w:r>
      <w:r w:rsidR="003338E0" w:rsidRPr="0049455A">
        <w:rPr>
          <w:rFonts w:ascii="Times New Roman" w:hAnsi="Times New Roman"/>
          <w:sz w:val="28"/>
          <w:szCs w:val="28"/>
        </w:rPr>
        <w:t xml:space="preserve"> не менее 2,0 мм,</w:t>
      </w:r>
      <w:r w:rsidRPr="0049455A">
        <w:rPr>
          <w:rFonts w:ascii="Times New Roman" w:hAnsi="Times New Roman"/>
          <w:sz w:val="28"/>
          <w:szCs w:val="28"/>
        </w:rPr>
        <w:t xml:space="preserve"> по всей длине должен иметь перфорацию с шагом 50 мм для крепления балок к стойке и удобства их перестановки по </w:t>
      </w:r>
      <w:r w:rsidRPr="0049455A">
        <w:rPr>
          <w:rFonts w:ascii="Times New Roman" w:hAnsi="Times New Roman"/>
          <w:sz w:val="28"/>
          <w:szCs w:val="28"/>
        </w:rPr>
        <w:lastRenderedPageBreak/>
        <w:t>высоте.</w:t>
      </w:r>
      <w:r w:rsidRPr="0049455A">
        <w:rPr>
          <w:rFonts w:ascii="Times New Roman" w:hAnsi="Times New Roman"/>
          <w:sz w:val="24"/>
          <w:szCs w:val="24"/>
        </w:rPr>
        <w:t xml:space="preserve"> </w:t>
      </w:r>
      <w:r w:rsidRPr="0049455A">
        <w:rPr>
          <w:rFonts w:ascii="Times New Roman" w:hAnsi="Times New Roman"/>
          <w:sz w:val="28"/>
          <w:szCs w:val="28"/>
        </w:rPr>
        <w:t>На каждую стойку должна быть предусмотрена опора с отверстиями под анкер. Крепление опоры к стойке двумя оцинкованными болтами с гайкой. На каждую опору должно быть предусмотрено 2 выравнивающие пластины толщиной 2,0 мм. Крепление опоры Стеллажа к полу - два анкерных болта М12х100 мм.</w:t>
      </w:r>
    </w:p>
    <w:p w:rsidR="009A6708" w:rsidRPr="0049455A" w:rsidRDefault="00891576">
      <w:pPr>
        <w:widowControl w:val="0"/>
        <w:tabs>
          <w:tab w:val="left" w:pos="20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945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9455A">
        <w:rPr>
          <w:rFonts w:ascii="Times New Roman" w:hAnsi="Times New Roman"/>
          <w:sz w:val="28"/>
          <w:szCs w:val="28"/>
        </w:rPr>
        <w:t>Стойка, раскосы и опоры должны быть окрашенными эпоксидно-порошковым покрытием.</w:t>
      </w:r>
      <w:r w:rsidR="002E5921" w:rsidRPr="0049455A">
        <w:rPr>
          <w:rFonts w:ascii="Times New Roman" w:hAnsi="Times New Roman"/>
          <w:sz w:val="28"/>
          <w:szCs w:val="28"/>
        </w:rPr>
        <w:t xml:space="preserve"> Цвет RAL 5017.</w:t>
      </w:r>
    </w:p>
    <w:p w:rsidR="009A6708" w:rsidRPr="0049455A" w:rsidRDefault="00891576">
      <w:pPr>
        <w:widowControl w:val="0"/>
        <w:tabs>
          <w:tab w:val="left" w:pos="2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 xml:space="preserve">2.3.3. Профиль </w:t>
      </w:r>
      <w:r w:rsidRPr="0049455A">
        <w:rPr>
          <w:rFonts w:ascii="Times New Roman" w:hAnsi="Times New Roman"/>
          <w:b/>
          <w:sz w:val="28"/>
          <w:szCs w:val="28"/>
        </w:rPr>
        <w:t>балки</w:t>
      </w:r>
      <w:r w:rsidRPr="0049455A">
        <w:rPr>
          <w:rFonts w:ascii="Times New Roman" w:hAnsi="Times New Roman"/>
          <w:sz w:val="28"/>
          <w:szCs w:val="28"/>
        </w:rPr>
        <w:t xml:space="preserve"> не менее </w:t>
      </w:r>
      <w:r w:rsidRPr="0049455A">
        <w:rPr>
          <w:rFonts w:ascii="Times New Roman" w:hAnsi="Times New Roman"/>
          <w:sz w:val="28"/>
          <w:szCs w:val="28"/>
          <w:lang w:bidi="en-US"/>
        </w:rPr>
        <w:t xml:space="preserve">1,5 мм. </w:t>
      </w:r>
      <w:r w:rsidR="002E5921" w:rsidRPr="0049455A">
        <w:rPr>
          <w:rFonts w:ascii="Times New Roman" w:hAnsi="Times New Roman"/>
          <w:sz w:val="28"/>
          <w:szCs w:val="28"/>
          <w:lang w:bidi="en-US"/>
        </w:rPr>
        <w:t xml:space="preserve">Цвет </w:t>
      </w:r>
      <w:r w:rsidR="002E5921" w:rsidRPr="0049455A">
        <w:rPr>
          <w:rFonts w:ascii="Times New Roman" w:hAnsi="Times New Roman"/>
          <w:sz w:val="28"/>
          <w:szCs w:val="28"/>
          <w:lang w:val="en-US" w:bidi="en-US"/>
        </w:rPr>
        <w:t>RAL</w:t>
      </w:r>
      <w:r w:rsidR="002E5921" w:rsidRPr="0049455A">
        <w:rPr>
          <w:rFonts w:ascii="Times New Roman" w:hAnsi="Times New Roman"/>
          <w:sz w:val="28"/>
          <w:szCs w:val="28"/>
          <w:lang w:bidi="en-US"/>
        </w:rPr>
        <w:t xml:space="preserve"> 2008. </w:t>
      </w:r>
      <w:r w:rsidRPr="0049455A">
        <w:rPr>
          <w:rFonts w:ascii="Times New Roman" w:hAnsi="Times New Roman"/>
          <w:sz w:val="28"/>
          <w:szCs w:val="28"/>
        </w:rPr>
        <w:t xml:space="preserve">Толщина кронштейна не менее 4,0 мм. Рабочая длина 2700 мм. Грузоподъемность не менее 4000 кг. Каждая балка должна быть оборудована двумя стальными оцинкованными фиксаторами для крепления их к стойкам. </w:t>
      </w:r>
    </w:p>
    <w:p w:rsidR="009A6708" w:rsidRPr="0049455A" w:rsidRDefault="00891576">
      <w:pPr>
        <w:widowControl w:val="0"/>
        <w:tabs>
          <w:tab w:val="left" w:pos="2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 xml:space="preserve">2.3.4. Сдвоенные ряды Стеллажей должны быть скреплены между собой металлическими межрамными связями на расстоянии 250 мм. Количество межрамных связей определяется Поставщиком, но не менее установленных подпунктом 9.1 пункта 9 ГОСТ Р 55525-2017. </w:t>
      </w:r>
    </w:p>
    <w:p w:rsidR="009A6708" w:rsidRPr="0049455A" w:rsidRDefault="00891576">
      <w:pPr>
        <w:widowControl w:val="0"/>
        <w:tabs>
          <w:tab w:val="left" w:pos="207"/>
        </w:tabs>
        <w:ind w:firstLine="709"/>
        <w:jc w:val="both"/>
      </w:pPr>
      <w:r w:rsidRPr="0049455A">
        <w:rPr>
          <w:rFonts w:ascii="Times New Roman" w:hAnsi="Times New Roman"/>
          <w:sz w:val="28"/>
          <w:szCs w:val="28"/>
        </w:rPr>
        <w:t>Межрамные связи должны быть окрашенными эпоксидно-порошковым покрытием.</w:t>
      </w:r>
    </w:p>
    <w:p w:rsidR="009A6708" w:rsidRPr="0049455A" w:rsidRDefault="00891576">
      <w:pPr>
        <w:ind w:firstLine="709"/>
        <w:jc w:val="both"/>
      </w:pPr>
      <w:r w:rsidRPr="0049455A">
        <w:rPr>
          <w:rFonts w:ascii="Times New Roman" w:hAnsi="Times New Roman"/>
          <w:sz w:val="28"/>
          <w:szCs w:val="28"/>
        </w:rPr>
        <w:t>2.3.5. Элементы защиты:</w:t>
      </w:r>
    </w:p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Все стойки Стеллажа, обращенные в проход, где будет работать техника, должны быть защищены стальной фронтальной защитой. Фронтальная защита стойки должна быть высотой не менее 400 мм от пола и толщиной не менее 4 мм. Защита должна крепиться в пол при помощи 4-х анкерных болтов.</w:t>
      </w:r>
      <w:r w:rsidR="008854A8" w:rsidRPr="0049455A">
        <w:rPr>
          <w:rFonts w:ascii="Times New Roman" w:hAnsi="Times New Roman"/>
          <w:sz w:val="28"/>
          <w:szCs w:val="28"/>
        </w:rPr>
        <w:t xml:space="preserve"> </w:t>
      </w:r>
    </w:p>
    <w:p w:rsidR="009A6708" w:rsidRPr="0049455A" w:rsidRDefault="00891576">
      <w:pPr>
        <w:widowControl w:val="0"/>
        <w:tabs>
          <w:tab w:val="left" w:pos="2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Все элементы защиты должна быть окрашенными эпоксидно порошковым покрытием.</w:t>
      </w:r>
    </w:p>
    <w:p w:rsidR="009A6708" w:rsidRPr="0049455A" w:rsidRDefault="00891576">
      <w:pPr>
        <w:ind w:firstLine="709"/>
        <w:jc w:val="both"/>
      </w:pPr>
      <w:r w:rsidRPr="0049455A">
        <w:rPr>
          <w:rFonts w:ascii="Times New Roman" w:hAnsi="Times New Roman"/>
          <w:sz w:val="28"/>
          <w:szCs w:val="28"/>
        </w:rPr>
        <w:t>2.3.6. Крепежи.</w:t>
      </w:r>
    </w:p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Количество элементов комплекта крепежа определяется Поставщиком самостоятельно исходя из конструктивных особенностей поставляемых Стеллажей.</w:t>
      </w:r>
    </w:p>
    <w:p w:rsidR="009A6708" w:rsidRPr="0049455A" w:rsidRDefault="008915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b/>
          <w:sz w:val="28"/>
          <w:szCs w:val="28"/>
        </w:rPr>
        <w:t>3. Требования к гарантийному сроку Товара.</w:t>
      </w:r>
    </w:p>
    <w:p w:rsidR="009A6708" w:rsidRPr="0049455A" w:rsidRDefault="00891576">
      <w:pPr>
        <w:pStyle w:val="a3"/>
        <w:ind w:left="0" w:firstLine="709"/>
        <w:jc w:val="both"/>
        <w:rPr>
          <w:lang w:val="ru-RU"/>
        </w:rPr>
      </w:pPr>
      <w:r w:rsidRPr="0049455A">
        <w:rPr>
          <w:rFonts w:ascii="Times New Roman" w:hAnsi="Times New Roman"/>
          <w:sz w:val="28"/>
          <w:szCs w:val="28"/>
          <w:lang w:val="ru-RU"/>
        </w:rPr>
        <w:t>3.1. Гарантия на поставленный Товар должна составлять не менее 5 лет.</w:t>
      </w:r>
    </w:p>
    <w:p w:rsidR="009A6708" w:rsidRPr="0049455A" w:rsidRDefault="0089157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455A">
        <w:rPr>
          <w:rFonts w:ascii="Times New Roman" w:hAnsi="Times New Roman"/>
          <w:sz w:val="28"/>
          <w:szCs w:val="28"/>
          <w:lang w:val="ru-RU"/>
        </w:rPr>
        <w:t>3.2. Гарантийный срок начинает исчисляться со дня подписания Сторонами соответствующего Акта приема-передачи Товара.</w:t>
      </w:r>
    </w:p>
    <w:p w:rsidR="00A17A8A" w:rsidRPr="0049455A" w:rsidRDefault="00A17A8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9455A">
        <w:rPr>
          <w:rFonts w:ascii="Times New Roman" w:hAnsi="Times New Roman"/>
          <w:b/>
          <w:sz w:val="28"/>
          <w:szCs w:val="28"/>
          <w:lang w:val="ru-RU"/>
        </w:rPr>
        <w:t>4. Дополнительные сведения</w:t>
      </w:r>
    </w:p>
    <w:p w:rsidR="00A17A8A" w:rsidRPr="0049455A" w:rsidRDefault="00A17A8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455A">
        <w:rPr>
          <w:rFonts w:ascii="Times New Roman" w:hAnsi="Times New Roman"/>
          <w:sz w:val="28"/>
          <w:szCs w:val="28"/>
          <w:lang w:val="ru-RU"/>
        </w:rPr>
        <w:t>4.1 Доставку и монтаж стеллажей поставщик производит за собственный счет с учетом расходных материалов.</w:t>
      </w:r>
    </w:p>
    <w:p w:rsidR="00A17A8A" w:rsidRPr="0049455A" w:rsidRDefault="00A17A8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9455A">
        <w:rPr>
          <w:rFonts w:ascii="Times New Roman" w:hAnsi="Times New Roman"/>
          <w:sz w:val="28"/>
          <w:szCs w:val="28"/>
          <w:lang w:val="ru-RU"/>
        </w:rPr>
        <w:t>4.2 Коммерческое предложение должно содержать технические характеристики стеллажного оборудования, эскиз стеллажа с отображением фронтальной, горизонтальной и профильной проекций.</w:t>
      </w:r>
    </w:p>
    <w:p w:rsidR="009A6708" w:rsidRPr="0049455A" w:rsidRDefault="009A670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9455A">
        <w:rPr>
          <w:rFonts w:ascii="Times New Roman" w:hAnsi="Times New Roman"/>
          <w:sz w:val="28"/>
          <w:szCs w:val="28"/>
          <w:u w:val="single"/>
        </w:rPr>
        <w:t>Приложения:</w:t>
      </w:r>
    </w:p>
    <w:p w:rsidR="009A6708" w:rsidRPr="0049455A" w:rsidRDefault="008915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t>1. Схема расположения стеллажей на 1 л.</w:t>
      </w:r>
    </w:p>
    <w:p w:rsidR="009A6708" w:rsidRPr="0049455A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Pr="0049455A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Pr="0049455A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Pr="0049455A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Pr="0049455A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Pr="0049455A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B56437" w:rsidRPr="0049455A" w:rsidRDefault="00B56437">
      <w:pPr>
        <w:jc w:val="right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56437" w:rsidRPr="0049455A" w:rsidRDefault="00B56437">
      <w:pPr>
        <w:jc w:val="right"/>
        <w:rPr>
          <w:rFonts w:ascii="Times New Roman" w:hAnsi="Times New Roman"/>
          <w:sz w:val="28"/>
          <w:szCs w:val="28"/>
        </w:rPr>
      </w:pPr>
    </w:p>
    <w:p w:rsidR="009A6708" w:rsidRDefault="00B56437">
      <w:pPr>
        <w:jc w:val="right"/>
        <w:rPr>
          <w:rFonts w:ascii="Times New Roman" w:hAnsi="Times New Roman"/>
          <w:sz w:val="28"/>
          <w:szCs w:val="28"/>
        </w:rPr>
      </w:pPr>
      <w:r w:rsidRPr="0049455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6347460" cy="8608060"/>
            <wp:effectExtent l="0" t="0" r="0" b="2540"/>
            <wp:wrapNone/>
            <wp:docPr id="1" name="Рисунок 1" descr="E:\Desktop\Загрузки\ООО ЛОГИКАМ - Топология скл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Загрузки\ООО ЛОГИКАМ - Топология скла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860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6708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Default="009A6708">
      <w:pPr>
        <w:jc w:val="right"/>
        <w:rPr>
          <w:rFonts w:ascii="Times New Roman" w:hAnsi="Times New Roman"/>
          <w:sz w:val="28"/>
          <w:szCs w:val="28"/>
        </w:rPr>
      </w:pPr>
    </w:p>
    <w:p w:rsidR="009A6708" w:rsidRDefault="009A6708">
      <w:pPr>
        <w:jc w:val="right"/>
        <w:rPr>
          <w:rFonts w:ascii="Times New Roman" w:hAnsi="Times New Roman"/>
          <w:sz w:val="28"/>
          <w:szCs w:val="28"/>
        </w:rPr>
      </w:pPr>
    </w:p>
    <w:sectPr w:rsidR="009A6708" w:rsidSect="00B56437">
      <w:footerReference w:type="default" r:id="rId8"/>
      <w:pgSz w:w="11906" w:h="16838"/>
      <w:pgMar w:top="851" w:right="849" w:bottom="851" w:left="1418" w:header="0" w:footer="6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EF" w:rsidRDefault="007E18EF">
      <w:r>
        <w:separator/>
      </w:r>
    </w:p>
  </w:endnote>
  <w:endnote w:type="continuationSeparator" w:id="0">
    <w:p w:rsidR="007E18EF" w:rsidRDefault="007E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Wingdings 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08" w:rsidRDefault="009A6708">
    <w:pPr>
      <w:pStyle w:val="ab"/>
    </w:pPr>
  </w:p>
  <w:p w:rsidR="009A6708" w:rsidRDefault="009A67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EF" w:rsidRDefault="007E18EF">
      <w:pPr>
        <w:rPr>
          <w:sz w:val="12"/>
        </w:rPr>
      </w:pPr>
      <w:r>
        <w:separator/>
      </w:r>
    </w:p>
  </w:footnote>
  <w:footnote w:type="continuationSeparator" w:id="0">
    <w:p w:rsidR="007E18EF" w:rsidRDefault="007E18EF">
      <w:pPr>
        <w:rPr>
          <w:sz w:val="12"/>
        </w:rPr>
      </w:pPr>
      <w:r>
        <w:continuationSeparator/>
      </w:r>
    </w:p>
  </w:footnote>
  <w:footnote w:id="1">
    <w:p w:rsidR="009A6708" w:rsidRDefault="00891576">
      <w:pPr>
        <w:pStyle w:val="ae"/>
        <w:spacing w:after="0" w:line="240" w:lineRule="auto"/>
        <w:jc w:val="both"/>
      </w:pPr>
      <w:r>
        <w:rPr>
          <w:rStyle w:val="FootnoteCharacters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Размеры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указаны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миллиметрах</w:t>
      </w:r>
      <w:proofErr w:type="spellEnd"/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104C"/>
    <w:multiLevelType w:val="hybridMultilevel"/>
    <w:tmpl w:val="E7C4DB66"/>
    <w:lvl w:ilvl="0" w:tplc="8EFA84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082F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39C5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8382E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D0E7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68C7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9EB9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4C294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6E01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016050"/>
    <w:multiLevelType w:val="hybridMultilevel"/>
    <w:tmpl w:val="4FC6B2D4"/>
    <w:lvl w:ilvl="0" w:tplc="234C7D10">
      <w:start w:val="1"/>
      <w:numFmt w:val="decimal"/>
      <w:lvlText w:val="2.%1."/>
      <w:lvlJc w:val="left"/>
      <w:pPr>
        <w:tabs>
          <w:tab w:val="num" w:pos="0"/>
        </w:tabs>
        <w:ind w:left="1069" w:hanging="360"/>
      </w:pPr>
      <w:rPr>
        <w:b w:val="0"/>
      </w:rPr>
    </w:lvl>
    <w:lvl w:ilvl="1" w:tplc="735C1E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3A8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5028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1018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C262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3ED2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67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F2BD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3A477A"/>
    <w:multiLevelType w:val="multilevel"/>
    <w:tmpl w:val="800827F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3" w15:restartNumberingAfterBreak="0">
    <w:nsid w:val="4E0D1EA4"/>
    <w:multiLevelType w:val="hybridMultilevel"/>
    <w:tmpl w:val="62C6BAE6"/>
    <w:lvl w:ilvl="0" w:tplc="A314CF7A">
      <w:start w:val="1"/>
      <w:numFmt w:val="decimal"/>
      <w:lvlText w:val="4.4.%1."/>
      <w:lvlJc w:val="left"/>
      <w:pPr>
        <w:tabs>
          <w:tab w:val="num" w:pos="708"/>
        </w:tabs>
        <w:ind w:left="1069" w:hanging="360"/>
      </w:pPr>
    </w:lvl>
    <w:lvl w:ilvl="1" w:tplc="FD821A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8020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DAF8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4F8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1E0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845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7867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1A04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6D50124"/>
    <w:multiLevelType w:val="hybridMultilevel"/>
    <w:tmpl w:val="C0340F9A"/>
    <w:lvl w:ilvl="0" w:tplc="08C4B60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</w:lvl>
    <w:lvl w:ilvl="1" w:tplc="996E76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C2A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0679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BE7E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D228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4A3B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922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CAF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3A67BC6"/>
    <w:multiLevelType w:val="hybridMultilevel"/>
    <w:tmpl w:val="5786489C"/>
    <w:lvl w:ilvl="0" w:tplc="02C6D4FA">
      <w:start w:val="1"/>
      <w:numFmt w:val="decimal"/>
      <w:lvlText w:val="4.%1."/>
      <w:lvlJc w:val="left"/>
      <w:pPr>
        <w:tabs>
          <w:tab w:val="num" w:pos="0"/>
        </w:tabs>
        <w:ind w:left="633" w:hanging="360"/>
      </w:pPr>
    </w:lvl>
    <w:lvl w:ilvl="1" w:tplc="1BD4FE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16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94A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EE3F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A6E1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E674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B677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9C30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6CA786F"/>
    <w:multiLevelType w:val="hybridMultilevel"/>
    <w:tmpl w:val="1A94E0F0"/>
    <w:lvl w:ilvl="0" w:tplc="D77AF622">
      <w:start w:val="1"/>
      <w:numFmt w:val="decimal"/>
      <w:lvlText w:val="4.5.%1."/>
      <w:lvlJc w:val="left"/>
      <w:pPr>
        <w:tabs>
          <w:tab w:val="num" w:pos="0"/>
        </w:tabs>
        <w:ind w:left="1211" w:hanging="360"/>
      </w:pPr>
    </w:lvl>
    <w:lvl w:ilvl="1" w:tplc="00F06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9A74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7E5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8E8A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9A5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3404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FCC6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2E1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08"/>
    <w:rsid w:val="000265C9"/>
    <w:rsid w:val="00081DE2"/>
    <w:rsid w:val="00156C5B"/>
    <w:rsid w:val="001E754B"/>
    <w:rsid w:val="00203B93"/>
    <w:rsid w:val="00263A88"/>
    <w:rsid w:val="002E5921"/>
    <w:rsid w:val="003338E0"/>
    <w:rsid w:val="00346503"/>
    <w:rsid w:val="003E0996"/>
    <w:rsid w:val="0049455A"/>
    <w:rsid w:val="004C632B"/>
    <w:rsid w:val="005133D0"/>
    <w:rsid w:val="007319A1"/>
    <w:rsid w:val="00797DA5"/>
    <w:rsid w:val="007C735B"/>
    <w:rsid w:val="007E18EF"/>
    <w:rsid w:val="008457E4"/>
    <w:rsid w:val="008854A8"/>
    <w:rsid w:val="00891576"/>
    <w:rsid w:val="008F1FDD"/>
    <w:rsid w:val="00986EEB"/>
    <w:rsid w:val="009A6708"/>
    <w:rsid w:val="009E51C4"/>
    <w:rsid w:val="00A17A8A"/>
    <w:rsid w:val="00AA5E0E"/>
    <w:rsid w:val="00B56437"/>
    <w:rsid w:val="00BA0496"/>
    <w:rsid w:val="00C47C4F"/>
    <w:rsid w:val="00C66823"/>
    <w:rsid w:val="00CE1201"/>
    <w:rsid w:val="00D36406"/>
    <w:rsid w:val="00DB3E09"/>
    <w:rsid w:val="00DE7865"/>
    <w:rsid w:val="00E06E87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C86D8-C07C-406C-9D38-1CC5E160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14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  <w:rPr>
      <w:rFonts w:ascii="Times New Roman" w:hAnsi="Times New Roman" w:cs="Times New Roman"/>
      <w:color w:val="000000"/>
    </w:rPr>
  </w:style>
  <w:style w:type="character" w:customStyle="1" w:styleId="WW8Num3z2">
    <w:name w:val="WW8Num3z2"/>
    <w:qFormat/>
    <w:rPr>
      <w:rFonts w:ascii="Calibri" w:hAnsi="Calibri" w:cs="Times New Roman"/>
      <w:color w:val="00000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af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qFormat/>
    <w:rPr>
      <w:sz w:val="26"/>
      <w:szCs w:val="26"/>
      <w:shd w:val="clear" w:color="auto" w:fill="FFFFFF"/>
      <w:lang w:bidi="ar-SA"/>
    </w:rPr>
  </w:style>
  <w:style w:type="character" w:customStyle="1" w:styleId="16">
    <w:name w:val="Основной текст1"/>
    <w:qFormat/>
    <w:rPr>
      <w:sz w:val="26"/>
      <w:szCs w:val="26"/>
      <w:u w:val="single"/>
      <w:shd w:val="clear" w:color="auto" w:fill="FFFFFF"/>
      <w:lang w:bidi="ar-SA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sz w:val="28"/>
      <w:szCs w:val="28"/>
      <w:lang w:bidi="ar-SA"/>
    </w:rPr>
  </w:style>
  <w:style w:type="character" w:customStyle="1" w:styleId="af5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1"/>
      <w:szCs w:val="21"/>
    </w:rPr>
  </w:style>
  <w:style w:type="character" w:customStyle="1" w:styleId="af6">
    <w:name w:val="Текст Знак"/>
    <w:qFormat/>
    <w:rPr>
      <w:rFonts w:ascii="Courier New" w:eastAsia="arial unicode ms;arial" w:hAnsi="Courier New" w:cs="Courier New"/>
      <w:color w:val="000000"/>
      <w:lang w:val="en-US"/>
    </w:rPr>
  </w:style>
  <w:style w:type="character" w:customStyle="1" w:styleId="af7">
    <w:name w:val="Верхний колонтитул Знак"/>
    <w:qFormat/>
    <w:rPr>
      <w:sz w:val="22"/>
      <w:szCs w:val="22"/>
    </w:rPr>
  </w:style>
  <w:style w:type="character" w:customStyle="1" w:styleId="af8">
    <w:name w:val="Нижний колонтитул Знак"/>
    <w:qFormat/>
    <w:rPr>
      <w:sz w:val="22"/>
      <w:szCs w:val="22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сноски Знак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d">
    <w:name w:val="Абзац списка Знак"/>
    <w:qFormat/>
    <w:rPr>
      <w:rFonts w:eastAsia="Times New Roman"/>
      <w:sz w:val="22"/>
      <w:szCs w:val="22"/>
    </w:rPr>
  </w:style>
  <w:style w:type="character" w:customStyle="1" w:styleId="17">
    <w:name w:val="Заголовок №1_"/>
    <w:qFormat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styleId="afe">
    <w:name w:val="footnote reference"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f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25">
    <w:name w:val="Основной текст2"/>
    <w:basedOn w:val="a"/>
    <w:qFormat/>
    <w:pPr>
      <w:shd w:val="clear" w:color="auto" w:fill="FFFFFF"/>
      <w:spacing w:line="326" w:lineRule="exact"/>
    </w:pPr>
    <w:rPr>
      <w:sz w:val="26"/>
      <w:szCs w:val="26"/>
      <w:shd w:val="clear" w:color="auto" w:fill="FFFFFF"/>
      <w:lang w:val="en-US"/>
    </w:rPr>
  </w:style>
  <w:style w:type="paragraph" w:styleId="aff4">
    <w:name w:val="No Spacing"/>
    <w:qFormat/>
    <w:rPr>
      <w:rFonts w:ascii="arial unicode ms;arial" w:eastAsia="arial unicode ms;arial" w:hAnsi="arial unicode ms;arial" w:cs="arial unicode ms;arial"/>
      <w:color w:val="000000"/>
      <w:lang w:bidi="ar-SA"/>
    </w:rPr>
  </w:style>
  <w:style w:type="paragraph" w:customStyle="1" w:styleId="ConsPlusNormal0">
    <w:name w:val="ConsPlusNormal"/>
    <w:qFormat/>
    <w:pPr>
      <w:ind w:firstLine="720"/>
    </w:pPr>
    <w:rPr>
      <w:rFonts w:ascii="Arial" w:eastAsia="Times New Roman" w:hAnsi="Arial" w:cs="Arial"/>
      <w:sz w:val="28"/>
      <w:szCs w:val="28"/>
      <w:lang w:val="ru-RU" w:bidi="ar-SA"/>
    </w:rPr>
  </w:style>
  <w:style w:type="paragraph" w:styleId="aff5">
    <w:name w:val="Plain Text"/>
    <w:basedOn w:val="a"/>
    <w:qFormat/>
    <w:rPr>
      <w:rFonts w:ascii="Courier New" w:eastAsia="arial unicode ms;arial" w:hAnsi="Courier New" w:cs="Courier New"/>
      <w:color w:val="000000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f6">
    <w:name w:val="annotation text"/>
    <w:basedOn w:val="a"/>
    <w:qFormat/>
    <w:rPr>
      <w:sz w:val="20"/>
      <w:szCs w:val="20"/>
      <w:lang w:val="en-US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styleId="ae">
    <w:name w:val="footnote text"/>
    <w:basedOn w:val="a"/>
    <w:link w:val="14"/>
    <w:pPr>
      <w:spacing w:after="200" w:line="276" w:lineRule="auto"/>
    </w:pPr>
    <w:rPr>
      <w:sz w:val="20"/>
      <w:szCs w:val="20"/>
      <w:lang w:val="en-US"/>
    </w:rPr>
  </w:style>
  <w:style w:type="paragraph" w:customStyle="1" w:styleId="18">
    <w:name w:val="Заголовок №1"/>
    <w:basedOn w:val="a"/>
    <w:qFormat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НО-4</dc:creator>
  <cp:keywords/>
  <dc:description/>
  <cp:lastModifiedBy>Сахапова Лейсан Вагизовна</cp:lastModifiedBy>
  <cp:revision>50</cp:revision>
  <dcterms:created xsi:type="dcterms:W3CDTF">2021-07-29T16:04:00Z</dcterms:created>
  <dcterms:modified xsi:type="dcterms:W3CDTF">2023-09-06T11:05:00Z</dcterms:modified>
  <dc:language>en-US</dc:language>
</cp:coreProperties>
</file>